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C8" w:rsidRPr="003F78C8" w:rsidRDefault="003F78C8" w:rsidP="003F78C8">
      <w:pPr>
        <w:shd w:val="clear" w:color="auto" w:fill="FAFAFA"/>
        <w:adjustRightInd/>
        <w:snapToGrid/>
        <w:spacing w:after="0" w:line="360" w:lineRule="atLeast"/>
        <w:ind w:firstLine="480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3F78C8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招聘专业及人数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759"/>
        <w:gridCol w:w="1470"/>
        <w:gridCol w:w="2181"/>
        <w:gridCol w:w="759"/>
        <w:gridCol w:w="759"/>
        <w:gridCol w:w="2394"/>
      </w:tblGrid>
      <w:tr w:rsidR="003F78C8" w:rsidRPr="003F78C8" w:rsidTr="003F78C8"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22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4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3F78C8" w:rsidRPr="003F78C8" w:rsidTr="003F78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消化内科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消化内科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心血管内科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心血管内科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儿科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儿科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血液内科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内科/血液病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肾内科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肾内科/血液净化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呼吸内科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呼吸内科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老年病科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老年医学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感染性疾病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传染病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急诊科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急诊医学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急诊外科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北院内科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内科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全科医学科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全科医学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产科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妇科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重症医学科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重症医学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骨科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骨科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眼科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眼科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麻醉科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麻醉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血管外科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外科学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血管外科专业方向优先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放射科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介入放射科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临床医学/介入放射学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ind w:firstLine="10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CT室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医学影像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磁共振室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医学影像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8C8" w:rsidRPr="003F78C8" w:rsidTr="003F78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医学影像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磁共振诊断副主任医师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超声医学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超声诊断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介入方向若干名</w:t>
            </w:r>
          </w:p>
        </w:tc>
      </w:tr>
      <w:tr w:rsidR="003F78C8" w:rsidRPr="003F78C8" w:rsidTr="003F78C8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信息管理科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卫生信息技术与管理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3F78C8" w:rsidRPr="003F78C8" w:rsidRDefault="003F78C8" w:rsidP="003F78C8">
            <w:pPr>
              <w:adjustRightInd/>
              <w:snapToGrid/>
              <w:spacing w:after="0"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F78C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1、计算机国家三级；2、专职从事医院信息化基础HIS等软件维护工作5年以上；3、专职数据库（DBA）5年以上。</w:t>
            </w:r>
          </w:p>
        </w:tc>
      </w:tr>
    </w:tbl>
    <w:p w:rsidR="004358AB" w:rsidRPr="003F78C8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3F78C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F78C8"/>
    <w:rsid w:val="00426133"/>
    <w:rsid w:val="004358AB"/>
    <w:rsid w:val="0075502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8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F7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2017-02-22T05:02:00Z</dcterms:modified>
</cp:coreProperties>
</file>